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ED296" w14:textId="03E37ABB" w:rsidR="006D7B4A" w:rsidRPr="00CD5A36" w:rsidRDefault="006D7B4A" w:rsidP="006D7B4A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107</w:t>
      </w:r>
      <w:r w:rsidRPr="00CD5A36">
        <w:rPr>
          <w:rFonts w:cs="Arial"/>
          <w:sz w:val="24"/>
          <w:szCs w:val="24"/>
        </w:rPr>
        <w:tab/>
      </w:r>
      <w:r w:rsidRPr="009A75FB">
        <w:rPr>
          <w:rFonts w:cs="Arial"/>
          <w:sz w:val="24"/>
          <w:szCs w:val="24"/>
        </w:rPr>
        <w:t>R4-23</w:t>
      </w:r>
      <w:r w:rsidR="00B568CF">
        <w:rPr>
          <w:rFonts w:cs="Arial"/>
          <w:sz w:val="24"/>
          <w:szCs w:val="24"/>
        </w:rPr>
        <w:t>10304</w:t>
      </w:r>
    </w:p>
    <w:p w14:paraId="1681762C" w14:textId="77777777" w:rsidR="006D7B4A" w:rsidRDefault="006D7B4A" w:rsidP="006D7B4A">
      <w:pPr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Incheon 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22</w:t>
      </w:r>
      <w:r w:rsidRPr="002602A6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27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3</w:t>
      </w:r>
    </w:p>
    <w:p w14:paraId="5BDA646E" w14:textId="0FF236B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D7B4A">
        <w:rPr>
          <w:rFonts w:ascii="Arial" w:hAnsi="Arial" w:cs="Arial"/>
          <w:b/>
          <w:sz w:val="22"/>
          <w:szCs w:val="22"/>
        </w:rPr>
        <w:t>MPR reduction</w:t>
      </w:r>
    </w:p>
    <w:p w14:paraId="644BB184" w14:textId="6C7558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D7B4A" w:rsidRPr="006D7B4A">
        <w:rPr>
          <w:rFonts w:ascii="Arial" w:hAnsi="Arial" w:cs="Arial"/>
          <w:b/>
          <w:bCs/>
          <w:sz w:val="22"/>
          <w:szCs w:val="22"/>
        </w:rPr>
        <w:t>R1-2302081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D7B4A" w:rsidRPr="006D7B4A">
        <w:rPr>
          <w:rFonts w:ascii="Arial" w:hAnsi="Arial" w:cs="Arial"/>
          <w:b/>
          <w:bCs/>
          <w:sz w:val="22"/>
          <w:szCs w:val="22"/>
        </w:rPr>
        <w:t>LS to RAN4 for results of the LLS performance evaluation of MPR/PAR reduction solutions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D7B4A">
        <w:rPr>
          <w:rFonts w:ascii="Arial" w:hAnsi="Arial" w:cs="Arial"/>
          <w:b/>
          <w:bCs/>
          <w:sz w:val="22"/>
          <w:szCs w:val="22"/>
        </w:rPr>
        <w:t>TSG-RAN WG1</w:t>
      </w:r>
    </w:p>
    <w:p w14:paraId="46E601D3" w14:textId="3BC7BC1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B4A">
        <w:rPr>
          <w:rFonts w:ascii="Arial" w:hAnsi="Arial" w:cs="Arial"/>
          <w:b/>
          <w:bCs/>
          <w:sz w:val="22"/>
          <w:szCs w:val="22"/>
        </w:rPr>
        <w:t>Rel-18</w:t>
      </w:r>
    </w:p>
    <w:bookmarkEnd w:id="4"/>
    <w:bookmarkEnd w:id="5"/>
    <w:bookmarkEnd w:id="6"/>
    <w:p w14:paraId="00E0D293" w14:textId="0C13D4D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B4A" w:rsidRPr="006D7B4A">
        <w:rPr>
          <w:rFonts w:ascii="Arial" w:hAnsi="Arial" w:cs="Arial"/>
          <w:b/>
          <w:bCs/>
          <w:sz w:val="22"/>
          <w:szCs w:val="22"/>
        </w:rPr>
        <w:t xml:space="preserve">NR_cov_enh2 </w:t>
      </w:r>
    </w:p>
    <w:p w14:paraId="4BFAF97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421111" w14:textId="3CF3EF3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D7B4A">
        <w:rPr>
          <w:rFonts w:ascii="Arial" w:hAnsi="Arial" w:cs="Arial"/>
          <w:b/>
          <w:sz w:val="22"/>
          <w:szCs w:val="22"/>
        </w:rPr>
        <w:t>RAN4</w:t>
      </w:r>
    </w:p>
    <w:p w14:paraId="5F95AA9E" w14:textId="7F6B7A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B4A">
        <w:rPr>
          <w:rFonts w:ascii="Arial" w:hAnsi="Arial" w:cs="Arial"/>
          <w:b/>
          <w:bCs/>
          <w:sz w:val="22"/>
          <w:szCs w:val="22"/>
        </w:rPr>
        <w:t>RAN1</w:t>
      </w:r>
    </w:p>
    <w:p w14:paraId="0BBF498A" w14:textId="595839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4474FA5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6B3BE54" w14:textId="6B13FD4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D7B4A">
        <w:rPr>
          <w:rFonts w:ascii="Arial" w:hAnsi="Arial" w:cs="Arial"/>
          <w:b/>
          <w:bCs/>
          <w:sz w:val="22"/>
          <w:szCs w:val="22"/>
        </w:rPr>
        <w:t>Johannes Hejselbaek</w:t>
      </w:r>
    </w:p>
    <w:p w14:paraId="4899929A" w14:textId="409E552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6D7B4A">
        <w:rPr>
          <w:rFonts w:ascii="Arial" w:hAnsi="Arial" w:cs="Arial"/>
          <w:bCs/>
          <w:color w:val="0000FF"/>
          <w:lang w:val="en-US"/>
        </w:rPr>
        <w:t>johannes</w:t>
      </w:r>
      <w:proofErr w:type="spellEnd"/>
      <w:r w:rsidR="006D7B4A" w:rsidRPr="00A301C9">
        <w:rPr>
          <w:rFonts w:ascii="Arial" w:hAnsi="Arial" w:cs="Arial"/>
          <w:bCs/>
          <w:color w:val="0000FF"/>
          <w:lang w:val="en-US"/>
        </w:rPr>
        <w:t xml:space="preserve"> (dot) </w:t>
      </w:r>
      <w:proofErr w:type="spellStart"/>
      <w:r w:rsidR="006D7B4A">
        <w:rPr>
          <w:rFonts w:ascii="Arial" w:hAnsi="Arial" w:cs="Arial"/>
          <w:bCs/>
          <w:color w:val="0000FF"/>
          <w:lang w:val="en-US"/>
        </w:rPr>
        <w:t>hejselbaek</w:t>
      </w:r>
      <w:proofErr w:type="spellEnd"/>
      <w:r w:rsidR="006D7B4A" w:rsidRPr="00A301C9">
        <w:rPr>
          <w:rFonts w:ascii="Arial" w:hAnsi="Arial" w:cs="Arial"/>
          <w:bCs/>
          <w:color w:val="0000FF"/>
          <w:lang w:val="en-US"/>
        </w:rPr>
        <w:t xml:space="preserve"> (at) </w:t>
      </w:r>
      <w:proofErr w:type="spellStart"/>
      <w:r w:rsidR="006D7B4A">
        <w:rPr>
          <w:rFonts w:ascii="Arial" w:hAnsi="Arial" w:cs="Arial"/>
          <w:bCs/>
          <w:color w:val="0000FF"/>
          <w:lang w:val="en-US"/>
        </w:rPr>
        <w:t>nokia</w:t>
      </w:r>
      <w:proofErr w:type="spellEnd"/>
      <w:r w:rsidR="006D7B4A" w:rsidRPr="00A301C9">
        <w:rPr>
          <w:rFonts w:ascii="Arial" w:hAnsi="Arial" w:cs="Arial"/>
          <w:bCs/>
          <w:color w:val="0000FF"/>
          <w:lang w:val="en-US"/>
        </w:rPr>
        <w:t xml:space="preserve"> (dot) com</w:t>
      </w:r>
    </w:p>
    <w:p w14:paraId="469A01F9" w14:textId="78E7FE7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D4A9A1B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206BFD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7F9B61A" w14:textId="28A2EE7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1CBE2FA" w14:textId="77777777" w:rsidR="00B97703" w:rsidRDefault="00B97703">
      <w:pPr>
        <w:rPr>
          <w:rFonts w:ascii="Arial" w:hAnsi="Arial" w:cs="Arial"/>
        </w:rPr>
      </w:pPr>
    </w:p>
    <w:p w14:paraId="35CF815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6F94BE4" w14:textId="56BC71B3" w:rsidR="00D07D2F" w:rsidRDefault="00B568CF" w:rsidP="00B568CF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RAN4 </w:t>
      </w:r>
      <w:r w:rsidR="007E1887">
        <w:rPr>
          <w:rFonts w:ascii="Arial" w:eastAsia="Yu Mincho" w:hAnsi="Arial" w:cs="Arial"/>
          <w:bCs/>
          <w:iCs/>
          <w:lang w:val="en-US" w:eastAsia="ja-JP"/>
        </w:rPr>
        <w:t xml:space="preserve">were asked by RAN1 to assess if </w:t>
      </w:r>
      <w:r>
        <w:rPr>
          <w:rFonts w:ascii="Arial" w:eastAsia="Yu Mincho" w:hAnsi="Arial" w:cs="Arial"/>
          <w:bCs/>
          <w:iCs/>
          <w:lang w:val="en-US" w:eastAsia="ja-JP"/>
        </w:rPr>
        <w:t>candidates for MPR/PAR reduction</w:t>
      </w:r>
      <w:r w:rsidR="007E1887">
        <w:rPr>
          <w:rFonts w:ascii="Arial" w:eastAsia="Yu Mincho" w:hAnsi="Arial" w:cs="Arial"/>
          <w:bCs/>
          <w:iCs/>
          <w:lang w:val="en-US" w:eastAsia="ja-JP"/>
        </w:rPr>
        <w:t xml:space="preserve">, as also studied form a link-level perspective in RAN1, could </w:t>
      </w:r>
      <w:r>
        <w:rPr>
          <w:rFonts w:ascii="Arial" w:eastAsia="Yu Mincho" w:hAnsi="Arial" w:cs="Arial"/>
          <w:bCs/>
          <w:iCs/>
          <w:lang w:val="en-US" w:eastAsia="ja-JP"/>
        </w:rPr>
        <w:t>provid</w:t>
      </w:r>
      <w:r w:rsidR="007E1887">
        <w:rPr>
          <w:rFonts w:ascii="Arial" w:eastAsia="Yu Mincho" w:hAnsi="Arial" w:cs="Arial"/>
          <w:bCs/>
          <w:iCs/>
          <w:lang w:val="en-US" w:eastAsia="ja-JP"/>
        </w:rPr>
        <w:t>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positive </w:t>
      </w:r>
      <w:r w:rsidR="007E1887">
        <w:rPr>
          <w:rFonts w:ascii="Arial" w:eastAsia="Yu Mincho" w:hAnsi="Arial" w:cs="Arial"/>
          <w:bCs/>
          <w:iCs/>
          <w:lang w:val="en-US" w:eastAsia="ja-JP"/>
        </w:rPr>
        <w:t>net-</w:t>
      </w:r>
      <w:r>
        <w:rPr>
          <w:rFonts w:ascii="Arial" w:eastAsia="Yu Mincho" w:hAnsi="Arial" w:cs="Arial"/>
          <w:bCs/>
          <w:iCs/>
          <w:lang w:val="en-US" w:eastAsia="ja-JP"/>
        </w:rPr>
        <w:t>gains</w:t>
      </w:r>
      <w:r w:rsidR="007E1887">
        <w:rPr>
          <w:rFonts w:ascii="Arial" w:eastAsia="Yu Mincho" w:hAnsi="Arial" w:cs="Arial"/>
          <w:bCs/>
          <w:iCs/>
          <w:lang w:val="en-US" w:eastAsia="ja-JP"/>
        </w:rPr>
        <w:t xml:space="preserve"> when paired with</w:t>
      </w:r>
      <w:r w:rsidR="007E1887" w:rsidRPr="007E1887">
        <w:t xml:space="preserve"> </w:t>
      </w:r>
      <w:r w:rsidR="007E1887" w:rsidRPr="007E1887">
        <w:rPr>
          <w:rFonts w:ascii="Arial" w:eastAsia="Yu Mincho" w:hAnsi="Arial" w:cs="Arial"/>
          <w:bCs/>
          <w:iCs/>
          <w:lang w:val="en-US" w:eastAsia="ja-JP"/>
        </w:rPr>
        <w:t xml:space="preserve">RF simulations </w:t>
      </w:r>
      <w:r w:rsidR="007E1887">
        <w:rPr>
          <w:rFonts w:ascii="Arial" w:eastAsia="Yu Mincho" w:hAnsi="Arial" w:cs="Arial"/>
          <w:bCs/>
          <w:iCs/>
          <w:lang w:val="en-US" w:eastAsia="ja-JP"/>
        </w:rPr>
        <w:t xml:space="preserve">performed by RAN4. </w:t>
      </w:r>
    </w:p>
    <w:p w14:paraId="094A6CBB" w14:textId="06DF73C3" w:rsidR="00D07D2F" w:rsidRDefault="00D07D2F" w:rsidP="00D07D2F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RAN4 have </w:t>
      </w:r>
      <w:r w:rsidR="00086A3A">
        <w:rPr>
          <w:rFonts w:ascii="Arial" w:eastAsia="Yu Mincho" w:hAnsi="Arial" w:cs="Arial"/>
          <w:bCs/>
          <w:iCs/>
          <w:lang w:val="en-US" w:eastAsia="ja-JP"/>
        </w:rPr>
        <w:t>completed the performance evaluation and f</w:t>
      </w:r>
      <w:r>
        <w:rPr>
          <w:rFonts w:ascii="Arial" w:eastAsia="Yu Mincho" w:hAnsi="Arial" w:cs="Arial"/>
          <w:bCs/>
          <w:iCs/>
          <w:lang w:val="en-US" w:eastAsia="ja-JP"/>
        </w:rPr>
        <w:t>ound that</w:t>
      </w:r>
      <w:r w:rsidR="00086A3A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positive net-gain can be observed for </w:t>
      </w:r>
      <w:r w:rsidR="006D7DC4">
        <w:rPr>
          <w:rFonts w:ascii="Arial" w:eastAsia="Yu Mincho" w:hAnsi="Arial" w:cs="Arial"/>
          <w:bCs/>
          <w:iCs/>
          <w:lang w:val="en-US" w:eastAsia="ja-JP"/>
        </w:rPr>
        <w:t>agreed transparent and non-transparent schemes</w:t>
      </w:r>
      <w:r w:rsidR="00086A3A">
        <w:rPr>
          <w:rFonts w:ascii="Arial" w:eastAsia="Yu Mincho" w:hAnsi="Arial" w:cs="Arial"/>
          <w:bCs/>
          <w:iCs/>
          <w:lang w:val="en-US" w:eastAsia="ja-JP"/>
        </w:rPr>
        <w:t>, at least when power-boosting is enabled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0016209A" w14:textId="3A482BEB" w:rsidR="009D6B1D" w:rsidRPr="009D6B1D" w:rsidRDefault="00D07D2F" w:rsidP="00AB4963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For transparent schemes</w:t>
      </w:r>
      <w:r w:rsidR="006D7DC4">
        <w:rPr>
          <w:rFonts w:ascii="Arial" w:eastAsia="Yu Mincho" w:hAnsi="Arial" w:cs="Arial"/>
          <w:bCs/>
          <w:iCs/>
          <w:lang w:val="en-US" w:eastAsia="ja-JP"/>
        </w:rPr>
        <w:t xml:space="preserve"> FDSS shows positive net-gains in some scenarios. For transparent schemes other than FDSS</w:t>
      </w:r>
      <w:r>
        <w:rPr>
          <w:rFonts w:ascii="Arial" w:eastAsia="Yu Mincho" w:hAnsi="Arial" w:cs="Arial"/>
          <w:bCs/>
          <w:iCs/>
          <w:lang w:val="en-US" w:eastAsia="ja-JP"/>
        </w:rPr>
        <w:t>, some companies also indicated positive net-gains</w:t>
      </w:r>
      <w:r w:rsidR="00645E46">
        <w:rPr>
          <w:rFonts w:ascii="Arial" w:eastAsia="Yu Mincho" w:hAnsi="Arial" w:cs="Arial"/>
          <w:bCs/>
          <w:iCs/>
          <w:lang w:val="en-US" w:eastAsia="ja-JP"/>
        </w:rPr>
        <w:t xml:space="preserve"> which are higher and close to </w:t>
      </w:r>
      <w:r w:rsidR="00645E46" w:rsidRPr="00645E46">
        <w:rPr>
          <w:rFonts w:ascii="Arial" w:eastAsia="Yu Mincho" w:hAnsi="Arial" w:cs="Arial"/>
          <w:bCs/>
          <w:iCs/>
          <w:lang w:val="en-US" w:eastAsia="ja-JP"/>
        </w:rPr>
        <w:t>FDSS-SE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5435A4DF" w14:textId="77777777" w:rsidR="002A777F" w:rsidRDefault="002A777F" w:rsidP="002A777F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RAN4 has below observations:</w:t>
      </w:r>
    </w:p>
    <w:p w14:paraId="2902E597" w14:textId="77777777" w:rsidR="002A777F" w:rsidRDefault="002A777F" w:rsidP="002A777F">
      <w:pPr>
        <w:pStyle w:val="ListParagraph"/>
        <w:numPr>
          <w:ilvl w:val="2"/>
          <w:numId w:val="7"/>
        </w:numPr>
        <w:ind w:firstLineChars="0"/>
        <w:rPr>
          <w:lang w:val="en-US"/>
        </w:rPr>
      </w:pPr>
      <w:r>
        <w:rPr>
          <w:lang w:val="en-US"/>
        </w:rPr>
        <w:t>Best case gain for FDSS-SE over transparent schemes:</w:t>
      </w:r>
    </w:p>
    <w:p w14:paraId="6F2E9EE1" w14:textId="7DC9A352" w:rsidR="002A777F" w:rsidRDefault="002A777F" w:rsidP="002A777F">
      <w:pPr>
        <w:pStyle w:val="ListParagraph"/>
        <w:numPr>
          <w:ilvl w:val="3"/>
          <w:numId w:val="7"/>
        </w:numPr>
        <w:ind w:firstLineChars="0"/>
        <w:rPr>
          <w:lang w:val="en-US"/>
        </w:rPr>
      </w:pPr>
      <w:r>
        <w:rPr>
          <w:lang w:val="en-US"/>
        </w:rPr>
        <w:t>0.1-0.9 dB for inner PRBs</w:t>
      </w:r>
    </w:p>
    <w:p w14:paraId="6A921373" w14:textId="6F42A03A" w:rsidR="002A777F" w:rsidRDefault="002A777F" w:rsidP="002A777F">
      <w:pPr>
        <w:pStyle w:val="ListParagraph"/>
        <w:numPr>
          <w:ilvl w:val="3"/>
          <w:numId w:val="7"/>
        </w:numPr>
        <w:ind w:firstLineChars="0"/>
        <w:rPr>
          <w:lang w:val="en-US"/>
        </w:rPr>
      </w:pPr>
      <w:r>
        <w:rPr>
          <w:lang w:val="en-US"/>
        </w:rPr>
        <w:t>0.4-1.3 dB for outer PRBs</w:t>
      </w:r>
    </w:p>
    <w:p w14:paraId="1FF8F347" w14:textId="77777777" w:rsidR="002A777F" w:rsidRDefault="002A777F" w:rsidP="002A777F">
      <w:pPr>
        <w:pStyle w:val="ListParagraph"/>
        <w:numPr>
          <w:ilvl w:val="2"/>
          <w:numId w:val="7"/>
        </w:numPr>
        <w:ind w:firstLineChars="0"/>
        <w:rPr>
          <w:lang w:val="en-US"/>
        </w:rPr>
      </w:pPr>
      <w:r>
        <w:rPr>
          <w:lang w:val="en-US"/>
        </w:rPr>
        <w:t>Best case gain for T</w:t>
      </w:r>
      <w:r w:rsidRPr="00534D22">
        <w:rPr>
          <w:lang w:val="en-US"/>
        </w:rPr>
        <w:t>ransparent schemes</w:t>
      </w:r>
      <w:r>
        <w:rPr>
          <w:lang w:val="en-US"/>
        </w:rPr>
        <w:t xml:space="preserve"> over baseline:</w:t>
      </w:r>
    </w:p>
    <w:p w14:paraId="7584417F" w14:textId="77777777" w:rsidR="00A66986" w:rsidRDefault="00A66986" w:rsidP="00A66986">
      <w:pPr>
        <w:pStyle w:val="ListParagraph"/>
        <w:numPr>
          <w:ilvl w:val="3"/>
          <w:numId w:val="7"/>
        </w:numPr>
        <w:ind w:firstLineChars="0"/>
        <w:rPr>
          <w:lang w:val="en-US"/>
        </w:rPr>
      </w:pPr>
      <w:r>
        <w:rPr>
          <w:lang w:val="en-US"/>
        </w:rPr>
        <w:t>0.3-1.5 dB for inner PRBs</w:t>
      </w:r>
    </w:p>
    <w:p w14:paraId="2C99A6D0" w14:textId="1B3AACC0" w:rsidR="002A777F" w:rsidRDefault="002A777F" w:rsidP="002A777F">
      <w:pPr>
        <w:pStyle w:val="ListParagraph"/>
        <w:numPr>
          <w:ilvl w:val="3"/>
          <w:numId w:val="7"/>
        </w:numPr>
        <w:ind w:firstLineChars="0"/>
        <w:rPr>
          <w:lang w:val="en-US"/>
        </w:rPr>
      </w:pPr>
      <w:r>
        <w:rPr>
          <w:lang w:val="en-US"/>
        </w:rPr>
        <w:t>0.</w:t>
      </w:r>
      <w:r w:rsidR="002A5B58">
        <w:rPr>
          <w:lang w:val="en-US"/>
        </w:rPr>
        <w:t>6</w:t>
      </w:r>
      <w:r>
        <w:rPr>
          <w:lang w:val="en-US"/>
        </w:rPr>
        <w:t xml:space="preserve">-1.0 dB for outer PRBs, </w:t>
      </w:r>
    </w:p>
    <w:p w14:paraId="4FDA25BC" w14:textId="77777777" w:rsidR="002A777F" w:rsidRDefault="002A777F" w:rsidP="002A777F">
      <w:pPr>
        <w:pStyle w:val="ListParagraph"/>
        <w:numPr>
          <w:ilvl w:val="2"/>
          <w:numId w:val="7"/>
        </w:numPr>
        <w:ind w:firstLineChars="0"/>
        <w:rPr>
          <w:lang w:val="en-US"/>
        </w:rPr>
      </w:pPr>
      <w:r w:rsidRPr="0018678D">
        <w:rPr>
          <w:lang w:val="en-US"/>
        </w:rPr>
        <w:t>FDSS-SE gains over transparent schemes vary with parameter settings: RB size, inner/outer, MCS index, filter type</w:t>
      </w:r>
    </w:p>
    <w:p w14:paraId="7EE67047" w14:textId="1FEB83E9" w:rsidR="002A777F" w:rsidRDefault="002A777F" w:rsidP="002A777F">
      <w:pPr>
        <w:pStyle w:val="ListParagraph"/>
        <w:numPr>
          <w:ilvl w:val="2"/>
          <w:numId w:val="7"/>
        </w:numPr>
        <w:ind w:firstLineChars="0"/>
        <w:rPr>
          <w:lang w:val="en-US"/>
        </w:rPr>
      </w:pPr>
      <w:r>
        <w:rPr>
          <w:lang w:val="en-US"/>
        </w:rPr>
        <w:t>FDSS-SE performs better than transparent scheme at outer allocation with certain parameter settings while transparent scheme performs better than FDSS-SE at inner allocation</w:t>
      </w:r>
      <w:r w:rsidRPr="0010721B">
        <w:rPr>
          <w:lang w:val="en-US"/>
        </w:rPr>
        <w:t xml:space="preserve"> </w:t>
      </w:r>
      <w:r>
        <w:rPr>
          <w:lang w:val="en-US"/>
        </w:rPr>
        <w:t>with certain parameter settings.</w:t>
      </w:r>
    </w:p>
    <w:p w14:paraId="696E472E" w14:textId="77777777" w:rsidR="002A777F" w:rsidRDefault="002A777F" w:rsidP="002A777F">
      <w:pPr>
        <w:rPr>
          <w:lang w:val="en-US"/>
        </w:rPr>
      </w:pPr>
    </w:p>
    <w:p w14:paraId="122784E9" w14:textId="516D2934" w:rsidR="002A777F" w:rsidRPr="00604543" w:rsidRDefault="00A66986" w:rsidP="002A777F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RAN4 will further consider optimized MPR performance based on achievable gain for outer and inner allocations using FDSS-SE and/or Transparent Schemes respectively. </w:t>
      </w:r>
    </w:p>
    <w:p w14:paraId="09CE0407" w14:textId="1F5A6936" w:rsidR="00B568CF" w:rsidRPr="00B568CF" w:rsidRDefault="00B568CF" w:rsidP="000F6242">
      <w:pPr>
        <w:rPr>
          <w:i/>
          <w:iCs/>
          <w:color w:val="0070C0"/>
          <w:lang w:val="en-US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The obtainable gains for different scenarios and schemes are further captured in the RAN4 WF R4-2310303 </w:t>
      </w:r>
    </w:p>
    <w:p w14:paraId="6331AA9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6B82A3" w14:textId="62CEDE1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568CF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01C4D1C" w14:textId="30B484D8" w:rsidR="00B97703" w:rsidRDefault="00B97703" w:rsidP="00B568CF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568CF" w:rsidRPr="00B568CF">
        <w:rPr>
          <w:rFonts w:ascii="Arial" w:eastAsia="Yu Mincho" w:hAnsi="Arial" w:cs="Arial"/>
          <w:bCs/>
          <w:iCs/>
          <w:lang w:val="en-US" w:eastAsia="ja-JP"/>
        </w:rPr>
        <w:t>RAN</w:t>
      </w:r>
      <w:r w:rsidR="00B568CF">
        <w:rPr>
          <w:rFonts w:ascii="Arial" w:eastAsia="Yu Mincho" w:hAnsi="Arial" w:cs="Arial"/>
          <w:bCs/>
          <w:iCs/>
          <w:lang w:val="en-US" w:eastAsia="ja-JP"/>
        </w:rPr>
        <w:t>4</w:t>
      </w:r>
      <w:r w:rsidR="00B568CF" w:rsidRPr="00B568CF">
        <w:rPr>
          <w:rFonts w:ascii="Arial" w:eastAsia="Yu Mincho" w:hAnsi="Arial" w:cs="Arial"/>
          <w:bCs/>
          <w:iCs/>
          <w:lang w:val="en-US" w:eastAsia="ja-JP"/>
        </w:rPr>
        <w:t xml:space="preserve"> kindly requests RAN</w:t>
      </w:r>
      <w:r w:rsidR="00B568CF">
        <w:rPr>
          <w:rFonts w:ascii="Arial" w:eastAsia="Yu Mincho" w:hAnsi="Arial" w:cs="Arial"/>
          <w:bCs/>
          <w:iCs/>
          <w:lang w:val="en-US" w:eastAsia="ja-JP"/>
        </w:rPr>
        <w:t>1</w:t>
      </w:r>
      <w:r w:rsidR="00B568CF" w:rsidRPr="00B568CF">
        <w:rPr>
          <w:rFonts w:ascii="Arial" w:eastAsia="Yu Mincho" w:hAnsi="Arial" w:cs="Arial"/>
          <w:bCs/>
          <w:iCs/>
          <w:lang w:val="en-US" w:eastAsia="ja-JP"/>
        </w:rPr>
        <w:t xml:space="preserve"> to take the above information into consideration for their future work</w:t>
      </w:r>
      <w:r w:rsidR="00745D7A">
        <w:rPr>
          <w:rFonts w:ascii="Arial" w:eastAsia="Yu Mincho" w:hAnsi="Arial" w:cs="Arial"/>
          <w:bCs/>
          <w:iCs/>
          <w:lang w:val="en-US" w:eastAsia="ja-JP"/>
        </w:rPr>
        <w:t xml:space="preserve"> and complete remaining RAN1 aspects</w:t>
      </w:r>
      <w:r w:rsidR="006D7DC4">
        <w:rPr>
          <w:rFonts w:ascii="Arial" w:eastAsia="Yu Mincho" w:hAnsi="Arial" w:cs="Arial"/>
          <w:bCs/>
          <w:iCs/>
          <w:lang w:val="en-US" w:eastAsia="ja-JP"/>
        </w:rPr>
        <w:t>, if any, o</w:t>
      </w:r>
      <w:r w:rsidR="00E04C35">
        <w:rPr>
          <w:rFonts w:ascii="Arial" w:eastAsia="Yu Mincho" w:hAnsi="Arial" w:cs="Arial"/>
          <w:bCs/>
          <w:iCs/>
          <w:lang w:val="en-US" w:eastAsia="ja-JP"/>
        </w:rPr>
        <w:t>f</w:t>
      </w:r>
      <w:r w:rsidR="006D7DC4">
        <w:rPr>
          <w:rFonts w:ascii="Arial" w:eastAsia="Yu Mincho" w:hAnsi="Arial" w:cs="Arial"/>
          <w:bCs/>
          <w:iCs/>
          <w:lang w:val="en-US" w:eastAsia="ja-JP"/>
        </w:rPr>
        <w:t xml:space="preserve"> the schemes mentioned in </w:t>
      </w:r>
      <w:r w:rsidR="00E04C35">
        <w:rPr>
          <w:rFonts w:ascii="Arial" w:eastAsia="Yu Mincho" w:hAnsi="Arial" w:cs="Arial"/>
          <w:bCs/>
          <w:iCs/>
          <w:lang w:val="en-US" w:eastAsia="ja-JP"/>
        </w:rPr>
        <w:t>Section</w:t>
      </w:r>
      <w:r w:rsidR="006D7DC4">
        <w:rPr>
          <w:rFonts w:ascii="Arial" w:eastAsia="Yu Mincho" w:hAnsi="Arial" w:cs="Arial"/>
          <w:bCs/>
          <w:iCs/>
          <w:lang w:val="en-US" w:eastAsia="ja-JP"/>
        </w:rPr>
        <w:t xml:space="preserve"> 1</w:t>
      </w:r>
      <w:r w:rsidR="00B568CF" w:rsidRPr="00B568CF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68C71126" w14:textId="3DB8345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568CF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B568CF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7EC7513" w14:textId="4027B059" w:rsidR="00B568CF" w:rsidRDefault="00B568CF" w:rsidP="00B568C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</w:t>
      </w:r>
      <w:r>
        <w:rPr>
          <w:rFonts w:ascii="Arial" w:eastAsia="MS Mincho" w:hAnsi="Arial" w:cs="Arial"/>
          <w:bCs/>
          <w:lang w:val="en-US"/>
        </w:rPr>
        <w:t>4</w:t>
      </w:r>
      <w:r w:rsidRPr="00A51417">
        <w:rPr>
          <w:rFonts w:ascii="Arial" w:eastAsia="MS Mincho" w:hAnsi="Arial" w:cs="Arial"/>
          <w:bCs/>
          <w:lang w:val="en-US"/>
        </w:rPr>
        <w:t xml:space="preserve"> Meeting #</w:t>
      </w:r>
      <w:r>
        <w:rPr>
          <w:rFonts w:ascii="Arial" w:eastAsia="MS Mincho" w:hAnsi="Arial" w:cs="Arial"/>
          <w:bCs/>
          <w:lang w:val="en-US"/>
        </w:rPr>
        <w:t>108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August</w:t>
      </w:r>
      <w:r w:rsidRPr="00A51417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>21 – August</w:t>
      </w:r>
      <w:r w:rsidRPr="00A51417"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  <w:lang w:val="en-US"/>
        </w:rPr>
        <w:t xml:space="preserve">25, </w:t>
      </w:r>
      <w:proofErr w:type="gramStart"/>
      <w:r>
        <w:rPr>
          <w:rFonts w:ascii="Arial" w:eastAsia="MS Mincho" w:hAnsi="Arial" w:cs="Arial"/>
          <w:bCs/>
          <w:lang w:val="en-US"/>
        </w:rPr>
        <w:t>2023</w:t>
      </w:r>
      <w:proofErr w:type="gramEnd"/>
      <w:r w:rsidRPr="00A51417">
        <w:rPr>
          <w:rFonts w:ascii="Arial" w:eastAsia="MS Mincho" w:hAnsi="Arial" w:cs="Arial"/>
          <w:bCs/>
          <w:lang w:val="en-US"/>
        </w:rPr>
        <w:tab/>
      </w:r>
      <w:r w:rsidRPr="00B568CF">
        <w:rPr>
          <w:rFonts w:ascii="Arial" w:eastAsia="MS Mincho" w:hAnsi="Arial" w:cs="Arial"/>
          <w:bCs/>
        </w:rPr>
        <w:t>Toulouse</w:t>
      </w:r>
      <w:r>
        <w:rPr>
          <w:rFonts w:ascii="Arial" w:eastAsia="MS Mincho" w:hAnsi="Arial" w:cs="Arial"/>
          <w:bCs/>
        </w:rPr>
        <w:t>, France</w:t>
      </w:r>
    </w:p>
    <w:p w14:paraId="75543C94" w14:textId="4DA51CCC" w:rsidR="00B568CF" w:rsidRPr="009E4717" w:rsidRDefault="00B568CF" w:rsidP="00B568C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</w:rPr>
      </w:pPr>
      <w:r w:rsidRPr="00A51417">
        <w:rPr>
          <w:rFonts w:ascii="Arial" w:eastAsia="MS Mincho" w:hAnsi="Arial" w:cs="Arial"/>
          <w:bCs/>
          <w:lang w:val="en-US"/>
        </w:rPr>
        <w:t>TSG RAN WG</w:t>
      </w:r>
      <w:r>
        <w:rPr>
          <w:rFonts w:ascii="Arial" w:eastAsia="MS Mincho" w:hAnsi="Arial" w:cs="Arial"/>
          <w:bCs/>
          <w:lang w:val="en-US"/>
        </w:rPr>
        <w:t>4</w:t>
      </w:r>
      <w:r w:rsidRPr="00A51417">
        <w:rPr>
          <w:rFonts w:ascii="Arial" w:eastAsia="MS Mincho" w:hAnsi="Arial" w:cs="Arial"/>
          <w:bCs/>
          <w:lang w:val="en-US"/>
        </w:rPr>
        <w:t xml:space="preserve"> Meeting #</w:t>
      </w:r>
      <w:r>
        <w:rPr>
          <w:rFonts w:ascii="Arial" w:eastAsia="MS Mincho" w:hAnsi="Arial" w:cs="Arial"/>
          <w:bCs/>
          <w:lang w:val="en-US"/>
        </w:rPr>
        <w:t>108bis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 xml:space="preserve">October 09 – October 13, </w:t>
      </w:r>
      <w:proofErr w:type="gramStart"/>
      <w:r>
        <w:rPr>
          <w:rFonts w:ascii="Arial" w:eastAsia="MS Mincho" w:hAnsi="Arial" w:cs="Arial"/>
          <w:bCs/>
          <w:lang w:val="en-US"/>
        </w:rPr>
        <w:t>2023</w:t>
      </w:r>
      <w:proofErr w:type="gramEnd"/>
      <w:r w:rsidRPr="00A51417">
        <w:rPr>
          <w:rFonts w:ascii="Arial" w:eastAsia="MS Mincho" w:hAnsi="Arial" w:cs="Arial"/>
          <w:bCs/>
          <w:lang w:val="en-US"/>
        </w:rPr>
        <w:tab/>
      </w:r>
      <w:r w:rsidRPr="00B568CF">
        <w:rPr>
          <w:rFonts w:ascii="Arial" w:eastAsia="MS Mincho" w:hAnsi="Arial" w:cs="Arial"/>
          <w:bCs/>
        </w:rPr>
        <w:t>Xiamen</w:t>
      </w:r>
      <w:r>
        <w:rPr>
          <w:rFonts w:ascii="Arial" w:eastAsia="MS Mincho" w:hAnsi="Arial" w:cs="Arial"/>
          <w:bCs/>
        </w:rPr>
        <w:t>, China</w:t>
      </w:r>
    </w:p>
    <w:p w14:paraId="39BE6D8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0DCBA" w14:textId="77777777" w:rsidR="00D45710" w:rsidRDefault="00D45710">
      <w:pPr>
        <w:spacing w:after="0"/>
      </w:pPr>
      <w:r>
        <w:separator/>
      </w:r>
    </w:p>
  </w:endnote>
  <w:endnote w:type="continuationSeparator" w:id="0">
    <w:p w14:paraId="0F3D8E57" w14:textId="77777777" w:rsidR="00D45710" w:rsidRDefault="00D457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D5226" w14:textId="77777777" w:rsidR="00D45710" w:rsidRDefault="00D45710">
      <w:pPr>
        <w:spacing w:after="0"/>
      </w:pPr>
      <w:r>
        <w:separator/>
      </w:r>
    </w:p>
  </w:footnote>
  <w:footnote w:type="continuationSeparator" w:id="0">
    <w:p w14:paraId="0B6F0D35" w14:textId="77777777" w:rsidR="00D45710" w:rsidRDefault="00D457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B2FB0"/>
    <w:multiLevelType w:val="hybridMultilevel"/>
    <w:tmpl w:val="68E22C24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369354A"/>
    <w:multiLevelType w:val="hybridMultilevel"/>
    <w:tmpl w:val="2926206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29124794"/>
    <w:multiLevelType w:val="multilevel"/>
    <w:tmpl w:val="291247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C206056"/>
    <w:multiLevelType w:val="multilevel"/>
    <w:tmpl w:val="076AB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26702465">
    <w:abstractNumId w:val="6"/>
  </w:num>
  <w:num w:numId="2" w16cid:durableId="859782072">
    <w:abstractNumId w:val="5"/>
  </w:num>
  <w:num w:numId="3" w16cid:durableId="1781022971">
    <w:abstractNumId w:val="4"/>
  </w:num>
  <w:num w:numId="4" w16cid:durableId="1739594926">
    <w:abstractNumId w:val="1"/>
  </w:num>
  <w:num w:numId="5" w16cid:durableId="272178083">
    <w:abstractNumId w:val="2"/>
  </w:num>
  <w:num w:numId="6" w16cid:durableId="1385063454">
    <w:abstractNumId w:val="7"/>
  </w:num>
  <w:num w:numId="7" w16cid:durableId="548077625">
    <w:abstractNumId w:val="0"/>
  </w:num>
  <w:num w:numId="8" w16cid:durableId="1844974709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6A3A"/>
    <w:rsid w:val="000F6242"/>
    <w:rsid w:val="002A5B58"/>
    <w:rsid w:val="002A777F"/>
    <w:rsid w:val="002E13F8"/>
    <w:rsid w:val="002F1940"/>
    <w:rsid w:val="003124B0"/>
    <w:rsid w:val="00383545"/>
    <w:rsid w:val="003E4F2B"/>
    <w:rsid w:val="00433500"/>
    <w:rsid w:val="00433F71"/>
    <w:rsid w:val="00440D43"/>
    <w:rsid w:val="004E3939"/>
    <w:rsid w:val="00645E46"/>
    <w:rsid w:val="006D7B4A"/>
    <w:rsid w:val="006D7DC4"/>
    <w:rsid w:val="00745D7A"/>
    <w:rsid w:val="007E1887"/>
    <w:rsid w:val="007F4F92"/>
    <w:rsid w:val="008A4301"/>
    <w:rsid w:val="008D772F"/>
    <w:rsid w:val="0099764C"/>
    <w:rsid w:val="009A71BF"/>
    <w:rsid w:val="009D6B1D"/>
    <w:rsid w:val="00A66986"/>
    <w:rsid w:val="00AB4963"/>
    <w:rsid w:val="00B568CF"/>
    <w:rsid w:val="00B97703"/>
    <w:rsid w:val="00CE3990"/>
    <w:rsid w:val="00CF6087"/>
    <w:rsid w:val="00D07D2F"/>
    <w:rsid w:val="00D45710"/>
    <w:rsid w:val="00E04C35"/>
    <w:rsid w:val="00EA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45E46"/>
    <w:rPr>
      <w:lang w:val="en-GB"/>
    </w:rPr>
  </w:style>
  <w:style w:type="paragraph" w:customStyle="1" w:styleId="paragraph">
    <w:name w:val="paragraph"/>
    <w:basedOn w:val="Normal"/>
    <w:rsid w:val="009D6B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character" w:customStyle="1" w:styleId="normaltextrun">
    <w:name w:val="normaltextrun"/>
    <w:rsid w:val="009D6B1D"/>
  </w:style>
  <w:style w:type="character" w:customStyle="1" w:styleId="eop">
    <w:name w:val="eop"/>
    <w:rsid w:val="009D6B1D"/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2A777F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2A777F"/>
    <w:rPr>
      <w:rFonts w:eastAsia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399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3990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3990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353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9</cp:revision>
  <cp:lastPrinted>2002-04-23T07:10:00Z</cp:lastPrinted>
  <dcterms:created xsi:type="dcterms:W3CDTF">2023-05-25T23:43:00Z</dcterms:created>
  <dcterms:modified xsi:type="dcterms:W3CDTF">2023-05-26T03:08:00Z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1684735439</vt:lpwstr>
  </property>
</Properties>
</file>